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新宋体" w:eastAsia="方正小标宋简体" w:cs="新宋体"/>
          <w:sz w:val="44"/>
          <w:szCs w:val="44"/>
        </w:rPr>
      </w:pPr>
      <w:bookmarkStart w:id="1" w:name="_GoBack"/>
      <w:bookmarkEnd w:id="1"/>
    </w:p>
    <w:p>
      <w:pPr>
        <w:spacing w:line="640" w:lineRule="exact"/>
        <w:jc w:val="center"/>
        <w:rPr>
          <w:rFonts w:ascii="方正小标宋简体" w:hAnsi="新宋体" w:eastAsia="方正小标宋简体" w:cs="新宋体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sz w:val="44"/>
          <w:szCs w:val="44"/>
        </w:rPr>
        <w:t>关于东疆综合保税区2022年决算草案及2023年以来预算执行情况的报告</w:t>
      </w:r>
    </w:p>
    <w:p>
      <w:pPr>
        <w:spacing w:line="640" w:lineRule="exact"/>
        <w:jc w:val="center"/>
        <w:rPr>
          <w:rFonts w:ascii="方正小标宋简体" w:hAnsi="新宋体" w:eastAsia="方正小标宋简体" w:cs="新宋体"/>
          <w:sz w:val="44"/>
          <w:szCs w:val="44"/>
        </w:rPr>
      </w:pP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，东疆坚持以习近平新时代中国特色社会主义思想为指导，深入贯彻党的十九大和十九届历次全会精神，认真学习贯彻党的二十大精神，坚持稳中求进工作总基调，全面落实疫情要防住、经济要稳住、发展要安全的要求，完整、准确、全面贯彻新发展理念，主动构建新发展格局，着力推动高质量发展，坚持稳中求进工作总基调，坚持新发展理念，打好“三大攻坚战”，经济持续稳中向好，财政收入质量进一步提高，预算执行情况总体较好。</w:t>
      </w:r>
    </w:p>
    <w:p>
      <w:pPr>
        <w:spacing w:line="6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22年决算情况</w:t>
      </w:r>
    </w:p>
    <w:p>
      <w:pPr>
        <w:widowControl/>
        <w:ind w:firstLine="642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  <w:t>（一）财政收支情况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  <w:t xml:space="preserve">                                </w:t>
      </w: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一般公共预算收入107.14亿元，剔除留抵退税因素按可比口径计算为完成预算103.5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，较去年同期增加9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。加上上年结余、转移支付、调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入调出资金及调入、安排预算稳定调节基金、一般债务收入等，总收入106.5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亿元。一般公共预算支出106.56</w:t>
      </w:r>
      <w:r>
        <w:rPr>
          <w:rFonts w:ascii="仿宋_GB2312" w:hAnsi="仿宋" w:eastAsia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亿元，完成预算74.3</w:t>
      </w:r>
      <w:r>
        <w:rPr>
          <w:rFonts w:ascii="仿宋_GB2312" w:hAnsi="仿宋" w:eastAsia="仿宋_GB2312"/>
          <w:sz w:val="32"/>
          <w:szCs w:val="32"/>
          <w:highlight w:val="none"/>
        </w:rPr>
        <w:t>%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，较去年同期减少3.6</w:t>
      </w:r>
      <w:r>
        <w:rPr>
          <w:rFonts w:ascii="仿宋_GB2312" w:hAnsi="仿宋" w:eastAsia="仿宋_GB2312"/>
          <w:sz w:val="32"/>
          <w:szCs w:val="32"/>
          <w:highlight w:val="none"/>
        </w:rPr>
        <w:t>%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。收支相抵，结余0.02</w:t>
      </w:r>
      <w:r>
        <w:rPr>
          <w:rFonts w:hint="eastAsia" w:ascii="仿宋_GB2312" w:hAnsi="仿宋" w:eastAsia="仿宋_GB2312"/>
          <w:sz w:val="32"/>
          <w:szCs w:val="32"/>
        </w:rPr>
        <w:t>亿元。政府性基金预算当年无收入、支出，无结余。国有资本经营预算收入</w:t>
      </w:r>
      <w:r>
        <w:rPr>
          <w:rFonts w:ascii="仿宋_GB2312" w:hAnsi="仿宋" w:eastAsia="仿宋_GB2312"/>
          <w:sz w:val="32"/>
          <w:szCs w:val="32"/>
        </w:rPr>
        <w:t>0.</w:t>
      </w:r>
      <w:r>
        <w:rPr>
          <w:rFonts w:hint="eastAsia" w:ascii="仿宋_GB2312" w:hAnsi="仿宋" w:eastAsia="仿宋_GB2312"/>
          <w:sz w:val="32"/>
          <w:szCs w:val="32"/>
        </w:rPr>
        <w:t>18亿元，完成预算169.8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，较去年同期增长77.7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。加上上年结余、转移支付、调入调出等，总收入0.003亿元。国有资本经营预算支出0.003亿元，完成预算50%，收支相抵，无结余。</w:t>
      </w:r>
    </w:p>
    <w:p>
      <w:pPr>
        <w:widowControl/>
        <w:ind w:firstLine="642" w:firstLineChars="200"/>
        <w:jc w:val="left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  <w:t>（二）政府债务情况</w:t>
      </w:r>
    </w:p>
    <w:p>
      <w:pPr>
        <w:spacing w:line="640" w:lineRule="exact"/>
        <w:ind w:firstLine="642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1.政府债券发行情况</w:t>
      </w: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2022年东疆无新增债务。</w:t>
      </w:r>
    </w:p>
    <w:p>
      <w:pPr>
        <w:spacing w:line="640" w:lineRule="exact"/>
        <w:ind w:firstLine="642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2.政府债务还本付息情况</w:t>
      </w: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2022年政府债务偿还应付利息0.0108亿元，全部为安排财政资金偿还。    </w:t>
      </w:r>
    </w:p>
    <w:p>
      <w:pPr>
        <w:widowControl/>
        <w:ind w:firstLine="642" w:firstLineChars="200"/>
        <w:jc w:val="left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  <w:t>（三）“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  <w:t>三公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  <w:t>”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  <w:t>经费情况</w:t>
      </w: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东疆财政拨款“三公”经费支出0.0106亿元，比预算减少0.0002亿元，主要是预算单位贯彻落实厉行节约反对浪费要求。其中，公务用车购置及运行费93.25万元，比预算减少0.49万元（包括公务用车购置费78.67万元，与预算持平，公务用车运行维护费14.58万元，比预算减少0.49万元）；公务接待费13.07万元，比预算减少1.7万元；因公出国（境）费0万元，与预算持平。</w:t>
      </w:r>
    </w:p>
    <w:p>
      <w:pPr>
        <w:widowControl/>
        <w:ind w:firstLine="642" w:firstLineChars="200"/>
        <w:jc w:val="left"/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  <w:t>（四）</w:t>
      </w:r>
      <w:r>
        <w:rPr>
          <w:rFonts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bidi="ar"/>
        </w:rPr>
        <w:t>绩效工作开展情况</w:t>
      </w: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东疆高度重视预算绩效管理工作，2022年制定出台《天津东疆综合保税区部门预算绩效管理暂行办法》、《天津东疆综合保税区部门预算绩效目标管理暂行办法》、《天津东疆综合保税区财政项目支出绩效评价管理办法》等管理办法，持续推进预算绩效管理制度建立健全；在重点项目绩效评价全覆盖基础上，推进部门整体预算绩效评价全覆盖；创新将预算执行进度和部门整体绩效评价挂钩，进一步提升东疆预算执行管理和绩效管理水平。</w:t>
      </w: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</w:rPr>
        <w:t>3年以来财政预算执行情况</w:t>
      </w: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0" w:name="OLE_LINK1"/>
      <w:r>
        <w:rPr>
          <w:rFonts w:ascii="仿宋_GB2312" w:hAnsi="仿宋" w:eastAsia="仿宋_GB2312"/>
          <w:sz w:val="32"/>
          <w:szCs w:val="32"/>
        </w:rPr>
        <w:t>1至</w:t>
      </w:r>
      <w:r>
        <w:rPr>
          <w:rFonts w:hint="eastAsia" w:ascii="仿宋_GB2312" w:hAnsi="仿宋" w:eastAsia="仿宋_GB2312"/>
          <w:sz w:val="32"/>
          <w:szCs w:val="32"/>
        </w:rPr>
        <w:t>7</w:t>
      </w:r>
      <w:r>
        <w:rPr>
          <w:rFonts w:ascii="仿宋_GB2312" w:hAnsi="仿宋" w:eastAsia="仿宋_GB2312"/>
          <w:sz w:val="32"/>
          <w:szCs w:val="32"/>
        </w:rPr>
        <w:t>月份，</w:t>
      </w:r>
      <w:r>
        <w:rPr>
          <w:rFonts w:hint="eastAsia" w:ascii="仿宋_GB2312" w:hAnsi="仿宋" w:eastAsia="仿宋_GB2312"/>
          <w:sz w:val="32"/>
          <w:szCs w:val="32"/>
        </w:rPr>
        <w:t>东疆综合保税区</w:t>
      </w:r>
      <w:r>
        <w:rPr>
          <w:rFonts w:ascii="仿宋_GB2312" w:hAnsi="仿宋" w:eastAsia="仿宋_GB2312"/>
          <w:sz w:val="32"/>
          <w:szCs w:val="32"/>
        </w:rPr>
        <w:t>一般公共预算收入</w:t>
      </w:r>
      <w:r>
        <w:rPr>
          <w:rFonts w:hint="eastAsia" w:ascii="仿宋_GB2312" w:hAnsi="仿宋" w:eastAsia="仿宋_GB2312"/>
          <w:sz w:val="32"/>
          <w:szCs w:val="32"/>
        </w:rPr>
        <w:t>91.9</w:t>
      </w:r>
      <w:r>
        <w:rPr>
          <w:rFonts w:ascii="仿宋_GB2312" w:hAnsi="仿宋" w:eastAsia="仿宋_GB2312"/>
          <w:sz w:val="32"/>
          <w:szCs w:val="32"/>
        </w:rPr>
        <w:t>亿元，完成年初预算81.8%，较去年同期</w:t>
      </w:r>
      <w:r>
        <w:rPr>
          <w:rFonts w:hint="eastAsia" w:ascii="仿宋_GB2312" w:hAnsi="仿宋" w:eastAsia="仿宋_GB2312"/>
          <w:sz w:val="32"/>
          <w:szCs w:val="32"/>
        </w:rPr>
        <w:t>73.6</w:t>
      </w:r>
      <w:r>
        <w:rPr>
          <w:rFonts w:ascii="仿宋_GB2312" w:hAnsi="仿宋" w:eastAsia="仿宋_GB2312"/>
          <w:sz w:val="32"/>
          <w:szCs w:val="32"/>
        </w:rPr>
        <w:t>亿元</w:t>
      </w:r>
      <w:r>
        <w:rPr>
          <w:rFonts w:hint="eastAsia" w:ascii="仿宋_GB2312" w:hAnsi="仿宋" w:eastAsia="仿宋_GB2312"/>
          <w:sz w:val="32"/>
          <w:szCs w:val="32"/>
        </w:rPr>
        <w:t>增加18.3</w:t>
      </w:r>
      <w:r>
        <w:rPr>
          <w:rFonts w:ascii="仿宋_GB2312" w:hAnsi="仿宋" w:eastAsia="仿宋_GB2312"/>
          <w:sz w:val="32"/>
          <w:szCs w:val="32"/>
        </w:rPr>
        <w:t>亿元，</w:t>
      </w:r>
      <w:r>
        <w:rPr>
          <w:rFonts w:hint="eastAsia" w:ascii="仿宋_GB2312" w:hAnsi="仿宋" w:eastAsia="仿宋_GB2312"/>
          <w:sz w:val="32"/>
          <w:szCs w:val="32"/>
        </w:rPr>
        <w:t>增</w:t>
      </w:r>
      <w:r>
        <w:rPr>
          <w:rFonts w:ascii="仿宋_GB2312" w:hAnsi="仿宋" w:eastAsia="仿宋_GB2312"/>
          <w:sz w:val="32"/>
          <w:szCs w:val="32"/>
        </w:rPr>
        <w:t>幅</w:t>
      </w:r>
      <w:r>
        <w:rPr>
          <w:rFonts w:hint="eastAsia" w:ascii="仿宋_GB2312" w:hAnsi="仿宋" w:eastAsia="仿宋_GB2312"/>
          <w:sz w:val="32"/>
          <w:szCs w:val="32"/>
        </w:rPr>
        <w:t>24.9</w:t>
      </w:r>
      <w:r>
        <w:rPr>
          <w:rFonts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</w:rPr>
        <w:t>其中</w:t>
      </w:r>
      <w:r>
        <w:rPr>
          <w:rFonts w:ascii="仿宋_GB2312" w:hAnsi="仿宋" w:eastAsia="仿宋_GB2312"/>
          <w:sz w:val="32"/>
          <w:szCs w:val="32"/>
        </w:rPr>
        <w:t>税收收入</w:t>
      </w:r>
      <w:r>
        <w:rPr>
          <w:rFonts w:hint="eastAsia" w:ascii="仿宋_GB2312" w:hAnsi="仿宋" w:eastAsia="仿宋_GB2312"/>
          <w:sz w:val="32"/>
          <w:szCs w:val="32"/>
        </w:rPr>
        <w:t>88.6</w:t>
      </w:r>
      <w:r>
        <w:rPr>
          <w:rFonts w:ascii="仿宋_GB2312" w:hAnsi="仿宋" w:eastAsia="仿宋_GB2312"/>
          <w:sz w:val="32"/>
          <w:szCs w:val="32"/>
        </w:rPr>
        <w:t>亿元，</w:t>
      </w:r>
      <w:r>
        <w:rPr>
          <w:rFonts w:hint="eastAsia" w:ascii="仿宋_GB2312" w:hAnsi="仿宋" w:eastAsia="仿宋_GB2312"/>
          <w:sz w:val="32"/>
          <w:szCs w:val="32"/>
        </w:rPr>
        <w:t>较去年同期70.8亿元增加17.8亿元，增</w:t>
      </w:r>
      <w:r>
        <w:rPr>
          <w:rFonts w:ascii="仿宋_GB2312" w:hAnsi="仿宋" w:eastAsia="仿宋_GB2312"/>
          <w:sz w:val="32"/>
          <w:szCs w:val="32"/>
        </w:rPr>
        <w:t>幅</w:t>
      </w:r>
      <w:r>
        <w:rPr>
          <w:rFonts w:hint="eastAsia" w:ascii="仿宋_GB2312" w:hAnsi="仿宋" w:eastAsia="仿宋_GB2312"/>
          <w:sz w:val="32"/>
          <w:szCs w:val="32"/>
        </w:rPr>
        <w:t>25.3</w:t>
      </w:r>
      <w:r>
        <w:rPr>
          <w:rFonts w:ascii="仿宋_GB2312" w:hAnsi="仿宋" w:eastAsia="仿宋_GB2312"/>
          <w:sz w:val="32"/>
          <w:szCs w:val="32"/>
        </w:rPr>
        <w:t>%，税收占比</w:t>
      </w:r>
      <w:r>
        <w:rPr>
          <w:rFonts w:hint="eastAsia" w:ascii="仿宋_GB2312" w:hAnsi="仿宋" w:eastAsia="仿宋_GB2312"/>
          <w:sz w:val="32"/>
          <w:szCs w:val="32"/>
        </w:rPr>
        <w:t>96.4</w:t>
      </w:r>
      <w:r>
        <w:rPr>
          <w:rFonts w:ascii="仿宋_GB2312" w:hAnsi="仿宋" w:eastAsia="仿宋_GB2312"/>
          <w:sz w:val="32"/>
          <w:szCs w:val="32"/>
        </w:rPr>
        <w:t>%；</w:t>
      </w:r>
      <w:bookmarkEnd w:id="0"/>
      <w:r>
        <w:rPr>
          <w:rFonts w:hint="eastAsia" w:ascii="仿宋_GB2312" w:hAnsi="仿宋" w:eastAsia="仿宋_GB2312"/>
          <w:sz w:val="32"/>
          <w:szCs w:val="32"/>
        </w:rPr>
        <w:t>一般公共预算支出87.5亿元，完成年初预算61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，较去年同期64亿元增加23.5亿元，增幅36.7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。预算执行主要特点：</w:t>
      </w:r>
    </w:p>
    <w:p>
      <w:pPr>
        <w:spacing w:line="6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一是高度重视税源建设工作，持续在招商引资方面加大力度，不断强化产业聚集优势，积极发掘带动税收新增长点，1-7月份一般公共预算收入完成年初预算81.8%，实现两位数增长。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是推进预算精细化管理，加强预算执行监督管理，着力提高资金使用效益，缓解财政压力。与预算管理一体化系统应用紧密结合，提升财政科学性和透明度，促使财政资源的统筹力度提升，提高了财政资源的配置效率。定期通报各部门预算支出执行进度情况，督促各部门结合工作实际，加快预算执行进度，避免出现年底突击花钱等问题出现，全力支持东疆各项重点工作顺利开展。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hint="eastAsia"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ascii="仿宋_GB2312" w:hAnsi="仿宋" w:eastAsia="仿宋_GB2312"/>
          <w:sz w:val="36"/>
          <w:szCs w:val="36"/>
        </w:rPr>
      </w:pPr>
    </w:p>
    <w:p>
      <w:pPr>
        <w:ind w:firstLine="720" w:firstLineChars="200"/>
        <w:rPr>
          <w:rFonts w:ascii="仿宋_GB2312" w:hAnsi="仿宋" w:eastAsia="仿宋_GB2312"/>
          <w:sz w:val="36"/>
          <w:szCs w:val="36"/>
          <w:highlight w:val="yellow"/>
        </w:rPr>
      </w:pPr>
    </w:p>
    <w:p>
      <w:pPr>
        <w:spacing w:line="640" w:lineRule="exact"/>
        <w:jc w:val="center"/>
        <w:rPr>
          <w:rFonts w:ascii="方正小标宋简体" w:hAnsi="新宋体" w:eastAsia="方正小标宋简体" w:cs="新宋体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sz w:val="44"/>
          <w:szCs w:val="44"/>
        </w:rPr>
        <w:t>名词解释</w:t>
      </w:r>
    </w:p>
    <w:p>
      <w:pPr>
        <w:ind w:firstLine="722" w:firstLineChars="200"/>
        <w:jc w:val="center"/>
        <w:rPr>
          <w:rFonts w:ascii="仿宋_GB2312" w:hAnsi="仿宋" w:eastAsia="仿宋_GB2312"/>
          <w:b/>
          <w:bCs/>
          <w:sz w:val="36"/>
          <w:szCs w:val="36"/>
          <w:highlight w:val="yellow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1.一般公共预算：指对以税收为主体的财政收入，安排用于保障和改善民生、推动经济社会发展、维护国家安全、维持国家机构正常运转等方面的收支预算。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2.转移支付：指上级政府按照有关法律法规、财政体制和政策规定，给予下级政府的补助资金，包括一般性转移支付和专项转移支付。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3.一般债券：指地方政府为没有收益的公益性事业发展举借的债务，主要以一般公共预算收入偿还。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4.调入（调出）资金：指不同预算性质资金之间相互调入（调出）的资金。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5.政府性基金预算：指对依照法律、行政法规的规定在一定期限内向特定对象征收、收取或者以其他方式筹集的资金，专项用于特定公共事业发展的收支预算。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6.国有资本经营预算：指对国有资本收益作出支出安排的收支预算。</w:t>
      </w:r>
    </w:p>
    <w:p>
      <w:pPr>
        <w:ind w:firstLine="720" w:firstLineChars="200"/>
        <w:rPr>
          <w:rFonts w:ascii="仿宋_GB2312" w:hAnsi="仿宋" w:eastAsia="仿宋_GB2312"/>
          <w:sz w:val="36"/>
          <w:szCs w:val="36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ZjZjZGNjYzc1ZTRjM2U2MDc3NzhlMGNmYTJjZjIifQ=="/>
  </w:docVars>
  <w:rsids>
    <w:rsidRoot w:val="161D4BE5"/>
    <w:rsid w:val="0007280F"/>
    <w:rsid w:val="001358E0"/>
    <w:rsid w:val="004D0CAA"/>
    <w:rsid w:val="00645B39"/>
    <w:rsid w:val="00731CDA"/>
    <w:rsid w:val="009D0CB3"/>
    <w:rsid w:val="00A76600"/>
    <w:rsid w:val="02A4476B"/>
    <w:rsid w:val="03AC7D7B"/>
    <w:rsid w:val="050A632C"/>
    <w:rsid w:val="068B10E1"/>
    <w:rsid w:val="09126158"/>
    <w:rsid w:val="0ABC3F80"/>
    <w:rsid w:val="0DDA653B"/>
    <w:rsid w:val="0F8E2A2A"/>
    <w:rsid w:val="14755F67"/>
    <w:rsid w:val="159E5049"/>
    <w:rsid w:val="160550C9"/>
    <w:rsid w:val="161D4BE5"/>
    <w:rsid w:val="1D8F1387"/>
    <w:rsid w:val="1DFD7DB0"/>
    <w:rsid w:val="21634752"/>
    <w:rsid w:val="21CD0793"/>
    <w:rsid w:val="2355143D"/>
    <w:rsid w:val="28943F98"/>
    <w:rsid w:val="2C5D2EEC"/>
    <w:rsid w:val="34A51AF9"/>
    <w:rsid w:val="3AB105AA"/>
    <w:rsid w:val="3C6B187A"/>
    <w:rsid w:val="3C873F70"/>
    <w:rsid w:val="3E514DFD"/>
    <w:rsid w:val="3F3C12AC"/>
    <w:rsid w:val="40FB7CB2"/>
    <w:rsid w:val="41466E72"/>
    <w:rsid w:val="41D76380"/>
    <w:rsid w:val="42BF18E0"/>
    <w:rsid w:val="47B57F53"/>
    <w:rsid w:val="4ADD3943"/>
    <w:rsid w:val="4BB9688E"/>
    <w:rsid w:val="4E3F66C2"/>
    <w:rsid w:val="4EEF633A"/>
    <w:rsid w:val="50125E3D"/>
    <w:rsid w:val="52DC0984"/>
    <w:rsid w:val="53F9452B"/>
    <w:rsid w:val="5C9A1694"/>
    <w:rsid w:val="5DFB43B4"/>
    <w:rsid w:val="652F2B95"/>
    <w:rsid w:val="67087B42"/>
    <w:rsid w:val="673459DD"/>
    <w:rsid w:val="68B65AA7"/>
    <w:rsid w:val="69766FE4"/>
    <w:rsid w:val="69B471A8"/>
    <w:rsid w:val="709167C9"/>
    <w:rsid w:val="726208AB"/>
    <w:rsid w:val="72DFE0E0"/>
    <w:rsid w:val="75483F2B"/>
    <w:rsid w:val="78542BE7"/>
    <w:rsid w:val="79F226B7"/>
    <w:rsid w:val="7F42459A"/>
    <w:rsid w:val="7FB45C3F"/>
    <w:rsid w:val="8F3EA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1612</Words>
  <Characters>1789</Characters>
  <Lines>13</Lines>
  <Paragraphs>3</Paragraphs>
  <TotalTime>0</TotalTime>
  <ScaleCrop>false</ScaleCrop>
  <LinksUpToDate>false</LinksUpToDate>
  <CharactersWithSpaces>1826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2022-06-20T22:34:00Z</dcterms:created>
  <dc:creator>小萍</dc:creator>
  <cp:lastModifiedBy>greatwall</cp:lastModifiedBy>
  <cp:lastPrinted>2023-08-18T00:53:00Z</cp:lastPrinted>
  <dcterms:modified xsi:type="dcterms:W3CDTF">2023-09-14T17:40:29Z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0941B815E42347A0BCF1FB49AF8A2DA7_13</vt:lpwstr>
  </property>
</Properties>
</file>